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A7BDE">
      <w:pPr>
        <w:spacing w:line="360" w:lineRule="auto"/>
        <w:jc w:val="center"/>
        <w:rPr>
          <w:rFonts w:hint="eastAsia" w:eastAsiaTheme="minorEastAsia"/>
          <w:b/>
          <w:bCs/>
          <w:lang w:val="en-US" w:eastAsia="zh-CN"/>
        </w:rPr>
      </w:pPr>
      <w:r>
        <w:rPr>
          <w:rFonts w:hint="eastAsia"/>
          <w:b/>
          <w:bCs/>
          <w:sz w:val="30"/>
          <w:szCs w:val="30"/>
          <w:lang w:val="en-US" w:eastAsia="zh-CN"/>
        </w:rPr>
        <w:t>清单编制说明</w:t>
      </w:r>
    </w:p>
    <w:p w14:paraId="50CEAE12">
      <w:pPr>
        <w:spacing w:line="360" w:lineRule="auto"/>
        <w:jc w:val="left"/>
        <w:rPr>
          <w:rFonts w:hint="eastAsia"/>
          <w:b/>
          <w:bCs/>
        </w:rPr>
      </w:pPr>
      <w:r>
        <w:rPr>
          <w:rFonts w:hint="eastAsia"/>
          <w:b/>
          <w:bCs/>
        </w:rPr>
        <w:t>一、工程概况：</w:t>
      </w:r>
    </w:p>
    <w:p w14:paraId="02F57D0A">
      <w:pPr>
        <w:spacing w:line="360" w:lineRule="auto"/>
        <w:jc w:val="left"/>
        <w:rPr>
          <w:rFonts w:hint="eastAsia"/>
          <w:lang w:val="en-US" w:eastAsia="zh-CN"/>
        </w:rPr>
      </w:pPr>
      <w:r>
        <w:rPr>
          <w:rFonts w:hint="eastAsia"/>
        </w:rPr>
        <w:t>1、建设单位：</w:t>
      </w:r>
      <w:r>
        <w:rPr>
          <w:rFonts w:hint="eastAsia"/>
          <w:lang w:val="en-US" w:eastAsia="zh-CN"/>
        </w:rPr>
        <w:t>嘉兴市建筑工业学校</w:t>
      </w:r>
    </w:p>
    <w:p w14:paraId="632FEAC0">
      <w:pPr>
        <w:spacing w:line="360" w:lineRule="auto"/>
        <w:jc w:val="left"/>
        <w:rPr>
          <w:rFonts w:hint="default"/>
          <w:lang w:val="en-US" w:eastAsia="zh-CN"/>
        </w:rPr>
      </w:pPr>
      <w:r>
        <w:rPr>
          <w:rFonts w:hint="eastAsia"/>
        </w:rPr>
        <w:t>2、工程名称：</w:t>
      </w:r>
      <w:r>
        <w:rPr>
          <w:rFonts w:hint="eastAsia"/>
          <w:lang w:val="en-US" w:eastAsia="zh-CN"/>
        </w:rPr>
        <w:t>嘉兴市建筑工业学校 11 号楼卫生间改造和5号楼屋顶维修工程（标项一）</w:t>
      </w:r>
    </w:p>
    <w:p w14:paraId="3BFE0CE6">
      <w:pPr>
        <w:spacing w:line="360" w:lineRule="auto"/>
        <w:jc w:val="left"/>
        <w:rPr>
          <w:rFonts w:hint="default" w:eastAsiaTheme="minorEastAsia"/>
          <w:lang w:val="en-US" w:eastAsia="zh-CN"/>
        </w:rPr>
      </w:pPr>
      <w:r>
        <w:rPr>
          <w:rFonts w:hint="eastAsia"/>
          <w:lang w:val="en-US" w:eastAsia="zh-CN"/>
        </w:rPr>
        <w:t>3、</w:t>
      </w:r>
      <w:r>
        <w:rPr>
          <w:rFonts w:hint="eastAsia"/>
        </w:rPr>
        <w:t>建设地点</w:t>
      </w:r>
      <w:r>
        <w:rPr>
          <w:rFonts w:hint="eastAsia"/>
          <w:lang w:eastAsia="zh-CN"/>
        </w:rPr>
        <w:t>：</w:t>
      </w:r>
      <w:r>
        <w:rPr>
          <w:rFonts w:hint="eastAsia"/>
          <w:lang w:val="en-US" w:eastAsia="zh-CN"/>
        </w:rPr>
        <w:t>嘉兴市建筑工业学校内</w:t>
      </w:r>
    </w:p>
    <w:p w14:paraId="6FD0BDFA">
      <w:pPr>
        <w:spacing w:line="360" w:lineRule="auto"/>
        <w:jc w:val="left"/>
        <w:rPr>
          <w:rFonts w:hint="eastAsia"/>
        </w:rPr>
      </w:pPr>
      <w:r>
        <w:rPr>
          <w:rFonts w:hint="eastAsia"/>
          <w:lang w:val="en-US" w:eastAsia="zh-CN"/>
        </w:rPr>
        <w:t>4</w:t>
      </w:r>
      <w:r>
        <w:rPr>
          <w:rFonts w:hint="eastAsia"/>
        </w:rPr>
        <w:t>、建设规模：详招标文件</w:t>
      </w:r>
    </w:p>
    <w:p w14:paraId="122B64BC">
      <w:pPr>
        <w:spacing w:line="360" w:lineRule="auto"/>
        <w:jc w:val="left"/>
        <w:rPr>
          <w:rFonts w:hint="eastAsia"/>
        </w:rPr>
      </w:pPr>
      <w:r>
        <w:rPr>
          <w:rFonts w:hint="eastAsia"/>
          <w:lang w:val="en-US" w:eastAsia="zh-CN"/>
        </w:rPr>
        <w:t>5</w:t>
      </w:r>
      <w:r>
        <w:rPr>
          <w:rFonts w:hint="eastAsia"/>
        </w:rPr>
        <w:t>、工期、质量要求: 详招标文件</w:t>
      </w:r>
    </w:p>
    <w:p w14:paraId="66324CC1">
      <w:pPr>
        <w:spacing w:line="360" w:lineRule="auto"/>
        <w:jc w:val="left"/>
        <w:rPr>
          <w:rFonts w:hint="eastAsia"/>
          <w:b/>
          <w:bCs/>
        </w:rPr>
      </w:pPr>
      <w:r>
        <w:rPr>
          <w:rFonts w:hint="eastAsia"/>
          <w:b/>
          <w:bCs/>
        </w:rPr>
        <w:t>二、招标范围：</w:t>
      </w:r>
    </w:p>
    <w:p w14:paraId="38532FB9">
      <w:pPr>
        <w:spacing w:line="360" w:lineRule="auto"/>
        <w:jc w:val="left"/>
        <w:rPr>
          <w:rFonts w:hint="eastAsia"/>
          <w:lang w:val="en-US" w:eastAsia="zh-CN"/>
        </w:rPr>
      </w:pPr>
      <w:r>
        <w:rPr>
          <w:rFonts w:hint="eastAsia"/>
          <w:lang w:val="en-US" w:eastAsia="zh-CN"/>
        </w:rPr>
        <w:t xml:space="preserve"> 本次招标范围有以下内容：</w:t>
      </w:r>
    </w:p>
    <w:p w14:paraId="6DA092AA">
      <w:pPr>
        <w:numPr>
          <w:ilvl w:val="0"/>
          <w:numId w:val="1"/>
        </w:numPr>
        <w:spacing w:line="360" w:lineRule="auto"/>
        <w:jc w:val="left"/>
        <w:rPr>
          <w:rFonts w:hint="default"/>
          <w:lang w:val="en-US" w:eastAsia="zh-CN"/>
        </w:rPr>
      </w:pPr>
      <w:r>
        <w:rPr>
          <w:rFonts w:hint="eastAsia"/>
          <w:lang w:val="en-US" w:eastAsia="zh-CN"/>
        </w:rPr>
        <w:t>主要包括</w:t>
      </w:r>
      <w:r>
        <w:rPr>
          <w:rFonts w:hint="default"/>
          <w:lang w:val="en-US" w:eastAsia="zh-CN"/>
        </w:rPr>
        <w:t>学校</w:t>
      </w:r>
      <w:r>
        <w:rPr>
          <w:rFonts w:hint="eastAsia"/>
          <w:lang w:val="en-US" w:eastAsia="zh-CN"/>
        </w:rPr>
        <w:t>11号楼卫生间改造（共计137间）以及宿舍区供水设施进行改造增压；</w:t>
      </w:r>
    </w:p>
    <w:p w14:paraId="6461E688">
      <w:pPr>
        <w:numPr>
          <w:ilvl w:val="0"/>
          <w:numId w:val="1"/>
        </w:numPr>
        <w:spacing w:line="360" w:lineRule="auto"/>
        <w:jc w:val="left"/>
        <w:rPr>
          <w:rFonts w:hint="default"/>
          <w:lang w:val="en-US" w:eastAsia="zh-CN"/>
        </w:rPr>
      </w:pPr>
      <w:r>
        <w:rPr>
          <w:rFonts w:hint="eastAsia"/>
          <w:lang w:val="en-US" w:eastAsia="zh-CN"/>
        </w:rPr>
        <w:t>5号楼屋顶维修。</w:t>
      </w:r>
    </w:p>
    <w:p w14:paraId="06DC88F7">
      <w:pPr>
        <w:spacing w:line="360" w:lineRule="auto"/>
        <w:rPr>
          <w:rFonts w:hint="eastAsia"/>
          <w:b/>
          <w:bCs/>
        </w:rPr>
      </w:pPr>
      <w:r>
        <w:rPr>
          <w:rFonts w:hint="eastAsia"/>
          <w:b/>
          <w:bCs/>
        </w:rPr>
        <w:t>三、编制依据：</w:t>
      </w:r>
    </w:p>
    <w:p w14:paraId="5D6D112D">
      <w:pPr>
        <w:spacing w:line="360" w:lineRule="auto"/>
        <w:rPr>
          <w:rFonts w:hint="eastAsia"/>
        </w:rPr>
      </w:pPr>
      <w:r>
        <w:rPr>
          <w:rFonts w:hint="eastAsia"/>
          <w:lang w:val="en-US" w:eastAsia="zh-CN"/>
        </w:rPr>
        <w:t>1</w:t>
      </w:r>
      <w:r>
        <w:rPr>
          <w:rFonts w:hint="eastAsia"/>
        </w:rPr>
        <w:t>、《建设工程工程量清单计价规范》（GB50500-2013）</w:t>
      </w:r>
    </w:p>
    <w:p w14:paraId="798F5AA9">
      <w:pPr>
        <w:spacing w:line="360" w:lineRule="auto"/>
        <w:rPr>
          <w:rFonts w:hint="eastAsia"/>
        </w:rPr>
      </w:pPr>
      <w:r>
        <w:rPr>
          <w:rFonts w:hint="eastAsia"/>
          <w:lang w:val="en-US" w:eastAsia="zh-CN"/>
        </w:rPr>
        <w:t>2</w:t>
      </w:r>
      <w:r>
        <w:rPr>
          <w:rFonts w:hint="eastAsia"/>
        </w:rPr>
        <w:t>、《房屋建筑与装饰工程工程量计算规范》（GB50854-2013）</w:t>
      </w:r>
    </w:p>
    <w:p w14:paraId="45D6DF2D">
      <w:pPr>
        <w:spacing w:line="360" w:lineRule="auto"/>
        <w:rPr>
          <w:rFonts w:hint="eastAsia"/>
        </w:rPr>
      </w:pPr>
      <w:r>
        <w:rPr>
          <w:rFonts w:hint="eastAsia"/>
          <w:lang w:val="en-US" w:eastAsia="zh-CN"/>
        </w:rPr>
        <w:t>3</w:t>
      </w:r>
      <w:r>
        <w:rPr>
          <w:rFonts w:hint="eastAsia"/>
        </w:rPr>
        <w:t>、《通用安装工程工程量计算规范》（GB50856-2013）</w:t>
      </w:r>
    </w:p>
    <w:p w14:paraId="51E7CE02">
      <w:pPr>
        <w:spacing w:line="360" w:lineRule="auto"/>
        <w:rPr>
          <w:rFonts w:hint="eastAsia"/>
        </w:rPr>
      </w:pPr>
      <w:r>
        <w:rPr>
          <w:rFonts w:hint="eastAsia"/>
          <w:lang w:val="en-US" w:eastAsia="zh-CN"/>
        </w:rPr>
        <w:t>4</w:t>
      </w:r>
      <w:r>
        <w:rPr>
          <w:rFonts w:hint="eastAsia"/>
        </w:rPr>
        <w:t>、《浙江省建设工程计价规则》（2018版）</w:t>
      </w:r>
    </w:p>
    <w:p w14:paraId="2D2774C3">
      <w:pPr>
        <w:spacing w:line="360" w:lineRule="auto"/>
        <w:rPr>
          <w:rFonts w:hint="eastAsia"/>
        </w:rPr>
      </w:pPr>
      <w:r>
        <w:rPr>
          <w:rFonts w:hint="eastAsia"/>
          <w:lang w:val="en-US" w:eastAsia="zh-CN"/>
        </w:rPr>
        <w:t>5</w:t>
      </w:r>
      <w:r>
        <w:rPr>
          <w:rFonts w:hint="eastAsia"/>
        </w:rPr>
        <w:t>、《浙江省房屋建筑与装饰工程预算定额》（2018版）</w:t>
      </w:r>
    </w:p>
    <w:p w14:paraId="05C9EE6F">
      <w:pPr>
        <w:spacing w:line="360" w:lineRule="auto"/>
        <w:rPr>
          <w:rFonts w:hint="eastAsia" w:eastAsiaTheme="minorEastAsia"/>
          <w:lang w:val="en-US" w:eastAsia="zh-CN"/>
        </w:rPr>
      </w:pPr>
      <w:r>
        <w:rPr>
          <w:rFonts w:hint="eastAsia"/>
          <w:lang w:val="en-US" w:eastAsia="zh-CN"/>
        </w:rPr>
        <w:t>6</w:t>
      </w:r>
      <w:r>
        <w:rPr>
          <w:rFonts w:hint="eastAsia"/>
        </w:rPr>
        <w:t>、《浙江省通用安装工程预算定额》（2018版）</w:t>
      </w:r>
    </w:p>
    <w:p w14:paraId="513F63A1">
      <w:pPr>
        <w:spacing w:line="360" w:lineRule="auto"/>
        <w:rPr>
          <w:rFonts w:hint="eastAsia"/>
        </w:rPr>
      </w:pPr>
      <w:r>
        <w:rPr>
          <w:rFonts w:hint="eastAsia"/>
          <w:lang w:val="en-US" w:eastAsia="zh-CN"/>
        </w:rPr>
        <w:t>7</w:t>
      </w:r>
      <w:r>
        <w:rPr>
          <w:rFonts w:hint="eastAsia"/>
        </w:rPr>
        <w:t>、《浙江省建设工程施工机械台班费用定额》（2018版）</w:t>
      </w:r>
    </w:p>
    <w:p w14:paraId="3C929735">
      <w:pPr>
        <w:spacing w:line="360" w:lineRule="auto"/>
        <w:rPr>
          <w:rFonts w:hint="eastAsia"/>
        </w:rPr>
      </w:pPr>
      <w:r>
        <w:rPr>
          <w:rFonts w:hint="eastAsia"/>
          <w:lang w:val="en-US" w:eastAsia="zh-CN"/>
        </w:rPr>
        <w:t>8</w:t>
      </w:r>
      <w:r>
        <w:rPr>
          <w:rFonts w:hint="eastAsia"/>
        </w:rPr>
        <w:t>、《浙江省建筑安装材料基期价格》(2018版)</w:t>
      </w:r>
    </w:p>
    <w:p w14:paraId="34F72465">
      <w:pPr>
        <w:spacing w:line="360" w:lineRule="auto"/>
        <w:rPr>
          <w:rFonts w:hint="eastAsia"/>
        </w:rPr>
      </w:pPr>
      <w:r>
        <w:rPr>
          <w:rFonts w:hint="eastAsia"/>
          <w:lang w:val="en-US" w:eastAsia="zh-CN"/>
        </w:rPr>
        <w:t>9</w:t>
      </w:r>
      <w:r>
        <w:rPr>
          <w:rFonts w:hint="eastAsia"/>
        </w:rPr>
        <w:t>、《浙江省建设工程工程量清单计价指引》及省市其它有关的计价规定</w:t>
      </w:r>
    </w:p>
    <w:p w14:paraId="52016580">
      <w:pPr>
        <w:spacing w:line="360" w:lineRule="auto"/>
        <w:rPr>
          <w:rFonts w:hint="default"/>
          <w:lang w:val="en-US" w:eastAsia="zh-CN"/>
        </w:rPr>
      </w:pPr>
      <w:r>
        <w:rPr>
          <w:rFonts w:hint="eastAsia"/>
          <w:lang w:val="en-US" w:eastAsia="zh-CN"/>
        </w:rPr>
        <w:t>10、用于资金审批的审核预算相关内容，现场实际情况</w:t>
      </w:r>
    </w:p>
    <w:p w14:paraId="0675D7CE">
      <w:pPr>
        <w:spacing w:line="360" w:lineRule="auto"/>
        <w:rPr>
          <w:rFonts w:hint="eastAsia"/>
          <w:b/>
          <w:bCs/>
        </w:rPr>
      </w:pPr>
      <w:r>
        <w:rPr>
          <w:rFonts w:hint="eastAsia"/>
          <w:b/>
          <w:bCs/>
        </w:rPr>
        <w:t>四、</w:t>
      </w:r>
      <w:r>
        <w:rPr>
          <w:rFonts w:hint="eastAsia"/>
          <w:b/>
          <w:bCs/>
          <w:lang w:val="en-US" w:eastAsia="zh-CN"/>
        </w:rPr>
        <w:t>其他</w:t>
      </w:r>
      <w:r>
        <w:rPr>
          <w:rFonts w:hint="eastAsia"/>
          <w:b/>
          <w:bCs/>
        </w:rPr>
        <w:t>有关清单编制说明：</w:t>
      </w:r>
    </w:p>
    <w:p w14:paraId="63362C70">
      <w:pPr>
        <w:numPr>
          <w:ilvl w:val="0"/>
          <w:numId w:val="0"/>
        </w:numPr>
        <w:spacing w:line="360" w:lineRule="auto"/>
        <w:ind w:leftChars="0"/>
        <w:rPr>
          <w:rFonts w:hint="eastAsia" w:ascii="宋体" w:hAnsi="宋体"/>
        </w:rPr>
      </w:pPr>
      <w:r>
        <w:rPr>
          <w:rFonts w:hint="eastAsia" w:ascii="宋体" w:hAnsi="宋体"/>
          <w:lang w:val="en-US" w:eastAsia="zh-CN"/>
        </w:rPr>
        <w:t>1、本项目为维修改造项目，投标单位需踏勘现场了解项目改造内容</w:t>
      </w:r>
      <w:r>
        <w:rPr>
          <w:rFonts w:hint="eastAsia" w:ascii="宋体" w:hAnsi="宋体"/>
        </w:rPr>
        <w:t>；</w:t>
      </w:r>
    </w:p>
    <w:p w14:paraId="110723DB">
      <w:pPr>
        <w:numPr>
          <w:ilvl w:val="0"/>
          <w:numId w:val="0"/>
        </w:numPr>
        <w:spacing w:line="360" w:lineRule="auto"/>
        <w:ind w:leftChars="0"/>
        <w:rPr>
          <w:rFonts w:hint="default" w:ascii="宋体" w:hAnsi="宋体"/>
          <w:lang w:val="en-US" w:eastAsia="zh-CN"/>
        </w:rPr>
      </w:pPr>
      <w:r>
        <w:rPr>
          <w:rFonts w:hint="eastAsia" w:ascii="宋体" w:hAnsi="宋体"/>
          <w:lang w:val="en-US" w:eastAsia="zh-CN"/>
        </w:rPr>
        <w:t>2、拆除项目时应注意成品保护，破坏项必须修复至原状；</w:t>
      </w:r>
    </w:p>
    <w:p w14:paraId="269294F2">
      <w:pPr>
        <w:numPr>
          <w:ilvl w:val="0"/>
          <w:numId w:val="0"/>
        </w:numPr>
        <w:spacing w:line="360" w:lineRule="auto"/>
        <w:ind w:leftChars="0"/>
        <w:rPr>
          <w:rFonts w:hint="eastAsia" w:ascii="宋体" w:hAnsi="宋体"/>
          <w:lang w:val="en-US" w:eastAsia="zh-CN"/>
        </w:rPr>
      </w:pPr>
      <w:r>
        <w:rPr>
          <w:rFonts w:hint="eastAsia" w:ascii="宋体" w:hAnsi="宋体"/>
          <w:lang w:val="en-US" w:eastAsia="zh-CN"/>
        </w:rPr>
        <w:t>3、本项目涉及的建筑垃圾外运运距由投标单位根据现场实际情况，及各建设区域的建筑垃圾堆放规定综合考虑报价；</w:t>
      </w:r>
    </w:p>
    <w:p w14:paraId="784C4649">
      <w:pPr>
        <w:numPr>
          <w:ilvl w:val="0"/>
          <w:numId w:val="0"/>
        </w:numPr>
        <w:spacing w:line="360" w:lineRule="auto"/>
        <w:ind w:leftChars="0"/>
        <w:rPr>
          <w:rFonts w:hint="default" w:ascii="宋体" w:hAnsi="宋体"/>
          <w:lang w:val="en-US" w:eastAsia="zh-CN"/>
        </w:rPr>
      </w:pPr>
      <w:r>
        <w:rPr>
          <w:rFonts w:hint="eastAsia" w:ascii="宋体" w:hAnsi="宋体"/>
          <w:lang w:val="en-US" w:eastAsia="zh-CN"/>
        </w:rPr>
        <w:t>4、出风口或检修口项目不单列，投标时需在相应的吊顶天棚项目中综合考虑报价；</w:t>
      </w:r>
    </w:p>
    <w:p w14:paraId="2F48DB47">
      <w:pPr>
        <w:numPr>
          <w:ilvl w:val="0"/>
          <w:numId w:val="0"/>
        </w:numPr>
        <w:spacing w:line="360" w:lineRule="auto"/>
        <w:ind w:leftChars="0"/>
        <w:rPr>
          <w:rFonts w:hint="eastAsia" w:ascii="宋体" w:hAnsi="宋体"/>
          <w:lang w:val="en-US" w:eastAsia="zh-CN"/>
        </w:rPr>
      </w:pPr>
      <w:r>
        <w:rPr>
          <w:rFonts w:hint="eastAsia" w:ascii="宋体" w:hAnsi="宋体"/>
          <w:lang w:val="en-US" w:eastAsia="zh-CN"/>
        </w:rPr>
        <w:t>5、涉及地面防水项目需做蓄水试验；</w:t>
      </w:r>
    </w:p>
    <w:p w14:paraId="20EF844C">
      <w:pPr>
        <w:numPr>
          <w:ilvl w:val="0"/>
          <w:numId w:val="0"/>
        </w:numPr>
        <w:spacing w:line="360" w:lineRule="auto"/>
        <w:ind w:leftChars="0"/>
        <w:rPr>
          <w:rFonts w:hint="eastAsia" w:ascii="宋体" w:hAnsi="宋体"/>
        </w:rPr>
      </w:pPr>
      <w:r>
        <w:rPr>
          <w:rFonts w:hint="eastAsia" w:ascii="宋体" w:hAnsi="宋体"/>
          <w:lang w:val="en-US" w:eastAsia="zh-CN"/>
        </w:rPr>
        <w:t>6、</w:t>
      </w:r>
      <w:r>
        <w:rPr>
          <w:rFonts w:hint="eastAsia" w:ascii="宋体" w:hAnsi="宋体"/>
        </w:rPr>
        <w:t>投标人应在综合单价中充分考虑施工中的各种损耗和需要增加的工程量，所报综合单价应包含该清单子目的所有工作内容，并考虑风险因素。</w:t>
      </w:r>
    </w:p>
    <w:p w14:paraId="7D021E90">
      <w:pPr>
        <w:numPr>
          <w:ilvl w:val="0"/>
          <w:numId w:val="0"/>
        </w:numPr>
        <w:spacing w:line="360" w:lineRule="auto"/>
        <w:ind w:leftChars="0"/>
        <w:rPr>
          <w:rFonts w:hint="eastAsia" w:ascii="宋体" w:hAnsi="宋体"/>
        </w:rPr>
      </w:pPr>
      <w:r>
        <w:rPr>
          <w:rFonts w:hint="eastAsia" w:ascii="宋体" w:hAnsi="宋体"/>
          <w:lang w:val="en-US" w:eastAsia="zh-CN"/>
        </w:rPr>
        <w:t>7、</w:t>
      </w:r>
      <w:r>
        <w:rPr>
          <w:rFonts w:hint="eastAsia" w:ascii="宋体" w:hAnsi="宋体"/>
        </w:rPr>
        <w:t>投标人未填报综合单价或合价的项目，其费用视为已分摊在其他项目的综合单价与合价中，该项工作实施后，招标人将不予支付。</w:t>
      </w:r>
    </w:p>
    <w:p w14:paraId="35008571">
      <w:pPr>
        <w:numPr>
          <w:ilvl w:val="0"/>
          <w:numId w:val="0"/>
        </w:numPr>
        <w:spacing w:line="360" w:lineRule="auto"/>
        <w:ind w:leftChars="0"/>
        <w:rPr>
          <w:rFonts w:hint="eastAsia" w:ascii="宋体" w:hAnsi="宋体"/>
        </w:rPr>
      </w:pPr>
      <w:r>
        <w:rPr>
          <w:rFonts w:hint="eastAsia" w:ascii="宋体" w:hAnsi="宋体"/>
          <w:lang w:val="en-US" w:eastAsia="zh-CN"/>
        </w:rPr>
        <w:t>8、</w:t>
      </w:r>
      <w:r>
        <w:rPr>
          <w:rFonts w:hint="eastAsia" w:ascii="宋体" w:hAnsi="宋体"/>
        </w:rPr>
        <w:t>工程量清单项目特征描述的是主要工作内容，其他辅助工作内容投标人自行考虑，并计入综合单价及合价。</w:t>
      </w:r>
    </w:p>
    <w:p w14:paraId="30C1B6EA">
      <w:pPr>
        <w:numPr>
          <w:ilvl w:val="0"/>
          <w:numId w:val="0"/>
        </w:numPr>
        <w:spacing w:line="360" w:lineRule="auto"/>
        <w:ind w:leftChars="0"/>
        <w:rPr>
          <w:rFonts w:hint="eastAsia" w:ascii="宋体" w:hAnsi="宋体"/>
        </w:rPr>
      </w:pPr>
      <w:r>
        <w:rPr>
          <w:rFonts w:hint="eastAsia" w:ascii="宋体" w:hAnsi="宋体"/>
          <w:lang w:val="en-US" w:eastAsia="zh-CN"/>
        </w:rPr>
        <w:t>9、</w:t>
      </w:r>
      <w:r>
        <w:rPr>
          <w:rFonts w:hint="eastAsia" w:ascii="宋体" w:hAnsi="宋体"/>
        </w:rPr>
        <w:t>投标人应先到工地踏勘以充分了解工地位置、现状、交通运输、空间局限及任何其它足以影响报价的情况，任何因忽视或误解工地情况而导致的索赔或工期延长申请将不获批准。</w:t>
      </w:r>
    </w:p>
    <w:p w14:paraId="1964F17C">
      <w:pPr>
        <w:numPr>
          <w:ilvl w:val="0"/>
          <w:numId w:val="0"/>
        </w:numPr>
        <w:spacing w:line="360" w:lineRule="auto"/>
        <w:ind w:leftChars="0"/>
        <w:rPr>
          <w:rFonts w:hint="eastAsia" w:ascii="宋体" w:hAnsi="宋体"/>
        </w:rPr>
      </w:pPr>
      <w:r>
        <w:rPr>
          <w:rFonts w:hint="eastAsia" w:ascii="宋体" w:hAnsi="宋体"/>
          <w:lang w:val="en-US" w:eastAsia="zh-CN"/>
        </w:rPr>
        <w:t>10、</w:t>
      </w:r>
      <w:r>
        <w:rPr>
          <w:rFonts w:hint="eastAsia" w:ascii="宋体" w:hAnsi="宋体"/>
        </w:rPr>
        <w:t>工程量清单及其计价依据格式中的任何内容不得随意删除或涂改，若有错误，在招标答疑时及时提出，以“补遗”资料为准。</w:t>
      </w:r>
    </w:p>
    <w:p w14:paraId="4BC6ACC8">
      <w:pPr>
        <w:numPr>
          <w:ilvl w:val="0"/>
          <w:numId w:val="0"/>
        </w:numPr>
        <w:spacing w:line="360" w:lineRule="auto"/>
        <w:ind w:leftChars="0"/>
        <w:rPr>
          <w:rFonts w:hint="eastAsia" w:ascii="宋体" w:hAnsi="宋体"/>
        </w:rPr>
      </w:pPr>
      <w:r>
        <w:rPr>
          <w:rFonts w:hint="eastAsia" w:ascii="宋体" w:hAnsi="宋体"/>
          <w:lang w:val="en-US" w:eastAsia="zh-CN"/>
        </w:rPr>
        <w:t>11、</w:t>
      </w:r>
      <w:r>
        <w:rPr>
          <w:rFonts w:hint="eastAsia" w:ascii="宋体" w:hAnsi="宋体"/>
        </w:rPr>
        <w:t>本说明未尽事项，以《浙江省房屋建筑与装饰工程预算定额》（2018 版）、《浙江省安装工程预算定额》（2018 版）招标文件以及有关法律、法规、建设行政主管部门颁发的文件为准。</w:t>
      </w:r>
    </w:p>
    <w:p w14:paraId="4E3B04F2">
      <w:pPr>
        <w:numPr>
          <w:ilvl w:val="0"/>
          <w:numId w:val="0"/>
        </w:numPr>
        <w:spacing w:line="360" w:lineRule="auto"/>
        <w:rPr>
          <w:rFonts w:hint="eastAsia" w:ascii="宋体" w:hAnsi="宋体"/>
          <w:b/>
          <w:bCs/>
          <w:lang w:val="en-US" w:eastAsia="zh-CN"/>
        </w:rPr>
      </w:pPr>
      <w:r>
        <w:rPr>
          <w:rFonts w:hint="eastAsia" w:ascii="宋体" w:hAnsi="宋体"/>
          <w:b/>
          <w:bCs/>
          <w:lang w:val="en-US" w:eastAsia="zh-CN"/>
        </w:rPr>
        <w:t>五、材料品牌</w:t>
      </w:r>
    </w:p>
    <w:p w14:paraId="53C621CD">
      <w:pPr>
        <w:numPr>
          <w:ilvl w:val="0"/>
          <w:numId w:val="0"/>
        </w:numPr>
        <w:spacing w:line="360" w:lineRule="auto"/>
      </w:pPr>
      <w:r>
        <w:rPr>
          <w:rFonts w:hint="eastAsia" w:ascii="宋体" w:hAnsi="宋体"/>
          <w:lang w:val="en-US" w:eastAsia="zh-CN"/>
        </w:rPr>
        <w:t>材料中涉及招标人明确品牌范围的，投标人在范围中选择一个品牌或品牌方案报价且在报价书中注明，投标单位投标时未注明品牌的，视为由业主单位在明确的品牌范围内任意确定。</w:t>
      </w:r>
      <w:r>
        <w:rPr>
          <w:rFonts w:hint="eastAsia" w:ascii="宋体" w:hAnsi="宋体"/>
        </w:rPr>
        <w:t>设备、材料</w:t>
      </w:r>
      <w:r>
        <w:rPr>
          <w:rFonts w:ascii="宋体" w:hAnsi="宋体"/>
        </w:rPr>
        <w:t>品牌推荐</w:t>
      </w:r>
      <w:r>
        <w:rPr>
          <w:rFonts w:hint="eastAsia" w:ascii="宋体" w:hAnsi="宋体"/>
        </w:rPr>
        <w:t>表如下：</w:t>
      </w:r>
    </w:p>
    <w:tbl>
      <w:tblPr>
        <w:tblStyle w:val="3"/>
        <w:tblW w:w="5174" w:type="pct"/>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3417"/>
        <w:gridCol w:w="2914"/>
        <w:gridCol w:w="704"/>
        <w:gridCol w:w="750"/>
      </w:tblGrid>
      <w:tr w14:paraId="64E5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vAlign w:val="center"/>
          </w:tcPr>
          <w:p w14:paraId="260E485E">
            <w:pPr>
              <w:widowControl/>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编号</w:t>
            </w:r>
          </w:p>
        </w:tc>
        <w:tc>
          <w:tcPr>
            <w:tcW w:w="1937" w:type="pct"/>
            <w:vAlign w:val="center"/>
          </w:tcPr>
          <w:p w14:paraId="789350A8">
            <w:pPr>
              <w:widowControl/>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材料</w:t>
            </w:r>
          </w:p>
        </w:tc>
        <w:tc>
          <w:tcPr>
            <w:tcW w:w="1652" w:type="pct"/>
            <w:vAlign w:val="center"/>
          </w:tcPr>
          <w:p w14:paraId="57E92335">
            <w:pPr>
              <w:widowControl/>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品牌</w:t>
            </w:r>
          </w:p>
        </w:tc>
        <w:tc>
          <w:tcPr>
            <w:tcW w:w="399" w:type="pct"/>
            <w:vAlign w:val="center"/>
          </w:tcPr>
          <w:p w14:paraId="705F221C">
            <w:pPr>
              <w:widowControl/>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型号</w:t>
            </w:r>
          </w:p>
        </w:tc>
        <w:tc>
          <w:tcPr>
            <w:tcW w:w="425" w:type="pct"/>
            <w:vAlign w:val="center"/>
          </w:tcPr>
          <w:p w14:paraId="0D786C31">
            <w:pPr>
              <w:widowControl/>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备注</w:t>
            </w:r>
          </w:p>
        </w:tc>
      </w:tr>
      <w:tr w14:paraId="3C225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vAlign w:val="center"/>
          </w:tcPr>
          <w:p w14:paraId="01541E75">
            <w:pPr>
              <w:widowControl/>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w:t>
            </w:r>
          </w:p>
        </w:tc>
        <w:tc>
          <w:tcPr>
            <w:tcW w:w="1937" w:type="pct"/>
            <w:vAlign w:val="center"/>
          </w:tcPr>
          <w:p w14:paraId="3B64D3A4">
            <w:pPr>
              <w:jc w:val="center"/>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highlight w:val="none"/>
              </w:rPr>
              <w:t>墙地砖</w:t>
            </w:r>
          </w:p>
        </w:tc>
        <w:tc>
          <w:tcPr>
            <w:tcW w:w="1652" w:type="pct"/>
            <w:vAlign w:val="center"/>
          </w:tcPr>
          <w:p w14:paraId="013F82D4">
            <w:pPr>
              <w:jc w:val="center"/>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冠珠、罗马、特陶</w:t>
            </w:r>
          </w:p>
        </w:tc>
        <w:tc>
          <w:tcPr>
            <w:tcW w:w="399" w:type="pct"/>
          </w:tcPr>
          <w:p w14:paraId="32A83D1E">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5001EA52">
            <w:pPr>
              <w:widowControl/>
              <w:jc w:val="left"/>
              <w:rPr>
                <w:rFonts w:hint="eastAsia" w:asciiTheme="minorEastAsia" w:hAnsiTheme="minorEastAsia" w:eastAsiaTheme="minorEastAsia" w:cstheme="minorEastAsia"/>
                <w:bCs/>
                <w:szCs w:val="21"/>
                <w:highlight w:val="none"/>
              </w:rPr>
            </w:pPr>
          </w:p>
        </w:tc>
      </w:tr>
      <w:tr w14:paraId="7AA1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vAlign w:val="center"/>
          </w:tcPr>
          <w:p w14:paraId="4E1E3F5B">
            <w:pPr>
              <w:widowControl/>
              <w:jc w:val="center"/>
              <w:rPr>
                <w:rFonts w:hint="eastAsia" w:asciiTheme="minorEastAsia" w:hAnsiTheme="minorEastAsia" w:eastAsiaTheme="minorEastAsia" w:cstheme="minorEastAsia"/>
                <w:kern w:val="0"/>
                <w:szCs w:val="21"/>
                <w:highlight w:val="none"/>
                <w:lang w:eastAsia="zh-CN"/>
              </w:rPr>
            </w:pPr>
            <w:r>
              <w:rPr>
                <w:rFonts w:hint="eastAsia" w:asciiTheme="minorEastAsia" w:hAnsiTheme="minorEastAsia" w:eastAsiaTheme="minorEastAsia" w:cstheme="minorEastAsia"/>
                <w:kern w:val="0"/>
                <w:szCs w:val="21"/>
                <w:highlight w:val="none"/>
                <w:lang w:val="en-US" w:eastAsia="zh-CN"/>
              </w:rPr>
              <w:t>2</w:t>
            </w:r>
          </w:p>
        </w:tc>
        <w:tc>
          <w:tcPr>
            <w:tcW w:w="1937" w:type="pct"/>
            <w:vAlign w:val="center"/>
          </w:tcPr>
          <w:p w14:paraId="0F05422E">
            <w:pPr>
              <w:jc w:val="center"/>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highlight w:val="none"/>
              </w:rPr>
              <w:t>轻钢龙骨</w:t>
            </w:r>
          </w:p>
        </w:tc>
        <w:tc>
          <w:tcPr>
            <w:tcW w:w="1652" w:type="pct"/>
            <w:vAlign w:val="center"/>
          </w:tcPr>
          <w:p w14:paraId="19F06125">
            <w:pPr>
              <w:jc w:val="center"/>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highlight w:val="none"/>
              </w:rPr>
              <w:t>苏杰、龙牌、森杰</w:t>
            </w:r>
          </w:p>
        </w:tc>
        <w:tc>
          <w:tcPr>
            <w:tcW w:w="399" w:type="pct"/>
          </w:tcPr>
          <w:p w14:paraId="66CE4D4B">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7D5BCA98">
            <w:pPr>
              <w:widowControl/>
              <w:jc w:val="left"/>
              <w:rPr>
                <w:rFonts w:hint="eastAsia" w:asciiTheme="minorEastAsia" w:hAnsiTheme="minorEastAsia" w:eastAsiaTheme="minorEastAsia" w:cstheme="minorEastAsia"/>
                <w:bCs/>
                <w:szCs w:val="21"/>
                <w:highlight w:val="none"/>
              </w:rPr>
            </w:pPr>
          </w:p>
        </w:tc>
      </w:tr>
      <w:tr w14:paraId="42980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vAlign w:val="center"/>
          </w:tcPr>
          <w:p w14:paraId="4F9361A9">
            <w:pPr>
              <w:widowControl/>
              <w:jc w:val="center"/>
              <w:rPr>
                <w:rFonts w:hint="eastAsia" w:asciiTheme="minorEastAsia" w:hAnsiTheme="minorEastAsia" w:eastAsiaTheme="minorEastAsia" w:cstheme="minorEastAsia"/>
                <w:kern w:val="0"/>
                <w:szCs w:val="21"/>
                <w:highlight w:val="none"/>
                <w:lang w:eastAsia="zh-CN"/>
              </w:rPr>
            </w:pPr>
            <w:r>
              <w:rPr>
                <w:rFonts w:hint="eastAsia" w:asciiTheme="minorEastAsia" w:hAnsiTheme="minorEastAsia" w:eastAsiaTheme="minorEastAsia" w:cstheme="minorEastAsia"/>
                <w:kern w:val="0"/>
                <w:szCs w:val="21"/>
                <w:highlight w:val="none"/>
                <w:lang w:val="en-US" w:eastAsia="zh-CN"/>
              </w:rPr>
              <w:t>3</w:t>
            </w:r>
          </w:p>
        </w:tc>
        <w:tc>
          <w:tcPr>
            <w:tcW w:w="1937" w:type="pct"/>
            <w:vAlign w:val="center"/>
          </w:tcPr>
          <w:p w14:paraId="16525F89">
            <w:pPr>
              <w:jc w:val="center"/>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highlight w:val="none"/>
              </w:rPr>
              <w:t>纸面石膏板</w:t>
            </w:r>
          </w:p>
        </w:tc>
        <w:tc>
          <w:tcPr>
            <w:tcW w:w="1652" w:type="pct"/>
            <w:vAlign w:val="center"/>
          </w:tcPr>
          <w:p w14:paraId="27605CA5">
            <w:pPr>
              <w:jc w:val="center"/>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highlight w:val="none"/>
              </w:rPr>
              <w:t>红圣、天坛、龙牌</w:t>
            </w:r>
          </w:p>
        </w:tc>
        <w:tc>
          <w:tcPr>
            <w:tcW w:w="399" w:type="pct"/>
          </w:tcPr>
          <w:p w14:paraId="530D6162">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4F481BB1">
            <w:pPr>
              <w:widowControl/>
              <w:jc w:val="left"/>
              <w:rPr>
                <w:rFonts w:hint="eastAsia" w:asciiTheme="minorEastAsia" w:hAnsiTheme="minorEastAsia" w:eastAsiaTheme="minorEastAsia" w:cstheme="minorEastAsia"/>
                <w:bCs/>
                <w:szCs w:val="21"/>
                <w:highlight w:val="none"/>
              </w:rPr>
            </w:pPr>
          </w:p>
        </w:tc>
      </w:tr>
      <w:tr w14:paraId="068D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vAlign w:val="center"/>
          </w:tcPr>
          <w:p w14:paraId="5DF28C54">
            <w:pPr>
              <w:widowControl/>
              <w:jc w:val="center"/>
              <w:rPr>
                <w:rFonts w:hint="eastAsia" w:asciiTheme="minorEastAsia" w:hAnsiTheme="minorEastAsia" w:eastAsiaTheme="minorEastAsia" w:cstheme="minorEastAsia"/>
                <w:kern w:val="0"/>
                <w:szCs w:val="21"/>
                <w:highlight w:val="none"/>
                <w:lang w:eastAsia="zh-CN"/>
              </w:rPr>
            </w:pPr>
            <w:r>
              <w:rPr>
                <w:rFonts w:hint="eastAsia" w:asciiTheme="minorEastAsia" w:hAnsiTheme="minorEastAsia" w:eastAsiaTheme="minorEastAsia" w:cstheme="minorEastAsia"/>
                <w:kern w:val="0"/>
                <w:szCs w:val="21"/>
                <w:highlight w:val="none"/>
                <w:lang w:val="en-US" w:eastAsia="zh-CN"/>
              </w:rPr>
              <w:t>4</w:t>
            </w:r>
          </w:p>
        </w:tc>
        <w:tc>
          <w:tcPr>
            <w:tcW w:w="1937" w:type="pct"/>
            <w:vAlign w:val="center"/>
          </w:tcPr>
          <w:p w14:paraId="5DCE9238">
            <w:pPr>
              <w:jc w:val="center"/>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highlight w:val="none"/>
              </w:rPr>
              <w:t>基层板(阻燃板、木工板、饰面板)</w:t>
            </w:r>
          </w:p>
        </w:tc>
        <w:tc>
          <w:tcPr>
            <w:tcW w:w="1652" w:type="pct"/>
            <w:vAlign w:val="center"/>
          </w:tcPr>
          <w:p w14:paraId="287A5D7D">
            <w:pPr>
              <w:jc w:val="center"/>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highlight w:val="none"/>
              </w:rPr>
              <w:t>千年舟、鸿林树、云盾、嘉众</w:t>
            </w:r>
          </w:p>
        </w:tc>
        <w:tc>
          <w:tcPr>
            <w:tcW w:w="399" w:type="pct"/>
          </w:tcPr>
          <w:p w14:paraId="75610213">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69FDE65C">
            <w:pPr>
              <w:widowControl/>
              <w:jc w:val="left"/>
              <w:rPr>
                <w:rFonts w:hint="eastAsia" w:asciiTheme="minorEastAsia" w:hAnsiTheme="minorEastAsia" w:eastAsiaTheme="minorEastAsia" w:cstheme="minorEastAsia"/>
                <w:bCs/>
                <w:szCs w:val="21"/>
                <w:highlight w:val="none"/>
              </w:rPr>
            </w:pPr>
          </w:p>
        </w:tc>
      </w:tr>
      <w:tr w14:paraId="1FF9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vAlign w:val="center"/>
          </w:tcPr>
          <w:p w14:paraId="2DB336C2">
            <w:pPr>
              <w:widowControl/>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val="en-US" w:eastAsia="zh-CN"/>
              </w:rPr>
              <w:t>5</w:t>
            </w:r>
          </w:p>
        </w:tc>
        <w:tc>
          <w:tcPr>
            <w:tcW w:w="1937" w:type="pct"/>
            <w:vAlign w:val="center"/>
          </w:tcPr>
          <w:p w14:paraId="6BFA3605">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highlight w:val="none"/>
              </w:rPr>
              <w:t>涂料</w:t>
            </w:r>
          </w:p>
        </w:tc>
        <w:tc>
          <w:tcPr>
            <w:tcW w:w="1652" w:type="pct"/>
            <w:vAlign w:val="center"/>
          </w:tcPr>
          <w:p w14:paraId="4961F7D3">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highlight w:val="none"/>
              </w:rPr>
              <w:t>立邦、嘉宝莉、多乐士</w:t>
            </w:r>
          </w:p>
        </w:tc>
        <w:tc>
          <w:tcPr>
            <w:tcW w:w="399" w:type="pct"/>
          </w:tcPr>
          <w:p w14:paraId="513FD4AE">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725123F6">
            <w:pPr>
              <w:widowControl/>
              <w:jc w:val="left"/>
              <w:rPr>
                <w:rFonts w:hint="eastAsia" w:asciiTheme="minorEastAsia" w:hAnsiTheme="minorEastAsia" w:eastAsiaTheme="minorEastAsia" w:cstheme="minorEastAsia"/>
                <w:bCs/>
                <w:szCs w:val="21"/>
                <w:highlight w:val="none"/>
              </w:rPr>
            </w:pPr>
          </w:p>
        </w:tc>
      </w:tr>
      <w:tr w14:paraId="05AC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shd w:val="clear" w:color="auto" w:fill="auto"/>
            <w:vAlign w:val="center"/>
          </w:tcPr>
          <w:p w14:paraId="4E7B08FE">
            <w:pPr>
              <w:widowControl/>
              <w:jc w:val="center"/>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Cs w:val="21"/>
                <w:highlight w:val="none"/>
                <w:lang w:val="en-US" w:eastAsia="zh-CN"/>
              </w:rPr>
              <w:t>6</w:t>
            </w:r>
          </w:p>
        </w:tc>
        <w:tc>
          <w:tcPr>
            <w:tcW w:w="1937" w:type="pct"/>
            <w:shd w:val="clear" w:color="auto" w:fill="auto"/>
            <w:vAlign w:val="center"/>
          </w:tcPr>
          <w:p w14:paraId="11057190">
            <w:pPr>
              <w:widowControl/>
              <w:snapToGrid w:val="0"/>
              <w:jc w:val="center"/>
              <w:textAlignment w:val="center"/>
              <w:rPr>
                <w:rFonts w:hint="eastAsia" w:ascii="宋体" w:hAnsi="宋体" w:eastAsia="宋体" w:cs="宋体"/>
                <w:color w:val="auto"/>
                <w:kern w:val="2"/>
                <w:sz w:val="20"/>
                <w:szCs w:val="24"/>
                <w:highlight w:val="none"/>
                <w:lang w:val="en-US" w:eastAsia="zh-CN" w:bidi="ar-SA"/>
              </w:rPr>
            </w:pPr>
            <w:r>
              <w:rPr>
                <w:rFonts w:hint="eastAsia" w:ascii="宋体" w:hAnsi="宋体" w:cs="宋体"/>
                <w:color w:val="auto"/>
                <w:sz w:val="20"/>
                <w:highlight w:val="none"/>
                <w:lang w:val="en-US" w:eastAsia="zh-CN"/>
              </w:rPr>
              <w:t>防水卷材</w:t>
            </w:r>
          </w:p>
        </w:tc>
        <w:tc>
          <w:tcPr>
            <w:tcW w:w="1652" w:type="pct"/>
            <w:shd w:val="clear" w:color="auto" w:fill="auto"/>
            <w:vAlign w:val="center"/>
          </w:tcPr>
          <w:p w14:paraId="0F89D98E">
            <w:pPr>
              <w:widowControl/>
              <w:snapToGrid w:val="0"/>
              <w:jc w:val="center"/>
              <w:textAlignment w:val="center"/>
              <w:rPr>
                <w:rFonts w:hint="eastAsia" w:ascii="宋体" w:hAnsi="宋体" w:eastAsia="宋体" w:cs="宋体"/>
                <w:color w:val="auto"/>
                <w:kern w:val="2"/>
                <w:sz w:val="20"/>
                <w:szCs w:val="24"/>
                <w:highlight w:val="none"/>
                <w:lang w:val="en-US" w:eastAsia="zh-CN" w:bidi="ar-SA"/>
              </w:rPr>
            </w:pPr>
            <w:r>
              <w:rPr>
                <w:rFonts w:hint="eastAsia" w:ascii="宋体" w:hAnsi="宋体" w:cs="宋体"/>
                <w:color w:val="auto"/>
                <w:sz w:val="20"/>
                <w:highlight w:val="none"/>
                <w:lang w:val="en-US" w:eastAsia="zh-CN"/>
              </w:rPr>
              <w:t>东方雨虹、大禹、宏源</w:t>
            </w:r>
          </w:p>
        </w:tc>
        <w:tc>
          <w:tcPr>
            <w:tcW w:w="399" w:type="pct"/>
          </w:tcPr>
          <w:p w14:paraId="7D9F88F6">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5DE999FA">
            <w:pPr>
              <w:widowControl/>
              <w:jc w:val="left"/>
              <w:rPr>
                <w:rFonts w:hint="eastAsia" w:asciiTheme="minorEastAsia" w:hAnsiTheme="minorEastAsia" w:eastAsiaTheme="minorEastAsia" w:cstheme="minorEastAsia"/>
                <w:bCs/>
                <w:szCs w:val="21"/>
                <w:highlight w:val="none"/>
              </w:rPr>
            </w:pPr>
          </w:p>
        </w:tc>
      </w:tr>
      <w:tr w14:paraId="1FC9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shd w:val="clear" w:color="auto" w:fill="auto"/>
            <w:vAlign w:val="center"/>
          </w:tcPr>
          <w:p w14:paraId="47D01397">
            <w:pPr>
              <w:widowControl/>
              <w:jc w:val="center"/>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Cs w:val="21"/>
                <w:highlight w:val="none"/>
                <w:lang w:val="en-US" w:eastAsia="zh-CN"/>
              </w:rPr>
              <w:t>7</w:t>
            </w:r>
          </w:p>
        </w:tc>
        <w:tc>
          <w:tcPr>
            <w:tcW w:w="1937" w:type="pct"/>
            <w:shd w:val="clear" w:color="auto" w:fill="auto"/>
            <w:vAlign w:val="center"/>
          </w:tcPr>
          <w:p w14:paraId="4C99BC7E">
            <w:pPr>
              <w:jc w:val="center"/>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highlight w:val="none"/>
              </w:rPr>
              <w:t>成品门</w:t>
            </w:r>
          </w:p>
        </w:tc>
        <w:tc>
          <w:tcPr>
            <w:tcW w:w="1652" w:type="pct"/>
            <w:shd w:val="clear" w:color="auto" w:fill="auto"/>
            <w:vAlign w:val="center"/>
          </w:tcPr>
          <w:p w14:paraId="09057B3E">
            <w:pPr>
              <w:jc w:val="center"/>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highlight w:val="none"/>
              </w:rPr>
              <w:t>新钰</w:t>
            </w:r>
            <w:r>
              <w:rPr>
                <w:rFonts w:hint="eastAsia" w:asciiTheme="minorEastAsia" w:hAnsiTheme="minorEastAsia" w:cstheme="minorEastAsia"/>
                <w:highlight w:val="none"/>
                <w:lang w:val="en-US" w:eastAsia="zh-CN"/>
              </w:rPr>
              <w:t>澜</w:t>
            </w:r>
            <w:r>
              <w:rPr>
                <w:rFonts w:hint="eastAsia" w:asciiTheme="minorEastAsia" w:hAnsiTheme="minorEastAsia" w:eastAsiaTheme="minorEastAsia" w:cstheme="minorEastAsia"/>
                <w:highlight w:val="none"/>
              </w:rPr>
              <w:t>门业、高美门业、兴拓门业</w:t>
            </w:r>
          </w:p>
        </w:tc>
        <w:tc>
          <w:tcPr>
            <w:tcW w:w="399" w:type="pct"/>
          </w:tcPr>
          <w:p w14:paraId="0256E85A">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7D56A2A9">
            <w:pPr>
              <w:widowControl/>
              <w:jc w:val="left"/>
              <w:rPr>
                <w:rFonts w:hint="eastAsia" w:asciiTheme="minorEastAsia" w:hAnsiTheme="minorEastAsia" w:eastAsiaTheme="minorEastAsia" w:cstheme="minorEastAsia"/>
                <w:bCs/>
                <w:szCs w:val="21"/>
                <w:highlight w:val="none"/>
              </w:rPr>
            </w:pPr>
          </w:p>
        </w:tc>
      </w:tr>
      <w:tr w14:paraId="0DFF8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shd w:val="clear" w:color="auto" w:fill="auto"/>
            <w:vAlign w:val="center"/>
          </w:tcPr>
          <w:p w14:paraId="3A3DCDA3">
            <w:pPr>
              <w:widowControl/>
              <w:jc w:val="center"/>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Cs w:val="21"/>
                <w:highlight w:val="none"/>
                <w:lang w:val="en-US" w:eastAsia="zh-CN"/>
              </w:rPr>
              <w:t>8</w:t>
            </w:r>
          </w:p>
        </w:tc>
        <w:tc>
          <w:tcPr>
            <w:tcW w:w="1937" w:type="pct"/>
            <w:vAlign w:val="center"/>
          </w:tcPr>
          <w:p w14:paraId="0B07F472">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rPr>
              <w:t>卫浴洁具</w:t>
            </w:r>
          </w:p>
        </w:tc>
        <w:tc>
          <w:tcPr>
            <w:tcW w:w="1652" w:type="pct"/>
            <w:vAlign w:val="center"/>
          </w:tcPr>
          <w:p w14:paraId="31C20978">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rPr>
              <w:t>埃美柯、九牧、惠达</w:t>
            </w:r>
          </w:p>
        </w:tc>
        <w:tc>
          <w:tcPr>
            <w:tcW w:w="399" w:type="pct"/>
          </w:tcPr>
          <w:p w14:paraId="631BA330">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4A678B3E">
            <w:pPr>
              <w:widowControl/>
              <w:jc w:val="left"/>
              <w:rPr>
                <w:rFonts w:hint="eastAsia" w:asciiTheme="minorEastAsia" w:hAnsiTheme="minorEastAsia" w:eastAsiaTheme="minorEastAsia" w:cstheme="minorEastAsia"/>
                <w:bCs/>
                <w:szCs w:val="21"/>
                <w:highlight w:val="none"/>
              </w:rPr>
            </w:pPr>
          </w:p>
        </w:tc>
      </w:tr>
      <w:tr w14:paraId="2AAB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shd w:val="clear" w:color="auto" w:fill="auto"/>
            <w:vAlign w:val="center"/>
          </w:tcPr>
          <w:p w14:paraId="43A751A0">
            <w:pPr>
              <w:widowControl/>
              <w:jc w:val="center"/>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Cs w:val="21"/>
                <w:highlight w:val="none"/>
                <w:lang w:val="en-US" w:eastAsia="zh-CN"/>
              </w:rPr>
              <w:t>9</w:t>
            </w:r>
          </w:p>
        </w:tc>
        <w:tc>
          <w:tcPr>
            <w:tcW w:w="1937" w:type="pct"/>
            <w:vAlign w:val="center"/>
          </w:tcPr>
          <w:p w14:paraId="70652A34">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rPr>
              <w:t>照明灯具</w:t>
            </w:r>
          </w:p>
        </w:tc>
        <w:tc>
          <w:tcPr>
            <w:tcW w:w="1652" w:type="pct"/>
            <w:vAlign w:val="center"/>
          </w:tcPr>
          <w:p w14:paraId="31204145">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rPr>
              <w:t>雷士、飞利浦、TCL</w:t>
            </w:r>
          </w:p>
        </w:tc>
        <w:tc>
          <w:tcPr>
            <w:tcW w:w="399" w:type="pct"/>
          </w:tcPr>
          <w:p w14:paraId="37DE8BED">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14B197D0">
            <w:pPr>
              <w:widowControl/>
              <w:jc w:val="left"/>
              <w:rPr>
                <w:rFonts w:hint="eastAsia" w:asciiTheme="minorEastAsia" w:hAnsiTheme="minorEastAsia" w:eastAsiaTheme="minorEastAsia" w:cstheme="minorEastAsia"/>
                <w:bCs/>
                <w:szCs w:val="21"/>
                <w:highlight w:val="none"/>
              </w:rPr>
            </w:pPr>
          </w:p>
        </w:tc>
      </w:tr>
      <w:tr w14:paraId="7D808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shd w:val="clear" w:color="auto" w:fill="auto"/>
            <w:vAlign w:val="center"/>
          </w:tcPr>
          <w:p w14:paraId="109BC29B">
            <w:pPr>
              <w:widowControl/>
              <w:jc w:val="center"/>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Cs w:val="21"/>
                <w:highlight w:val="none"/>
                <w:lang w:val="en-US" w:eastAsia="zh-CN"/>
              </w:rPr>
              <w:t>10</w:t>
            </w:r>
          </w:p>
        </w:tc>
        <w:tc>
          <w:tcPr>
            <w:tcW w:w="1937" w:type="pct"/>
            <w:vAlign w:val="center"/>
          </w:tcPr>
          <w:p w14:paraId="3725FA24">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rPr>
              <w:t>开关、插座</w:t>
            </w:r>
          </w:p>
        </w:tc>
        <w:tc>
          <w:tcPr>
            <w:tcW w:w="1652" w:type="pct"/>
            <w:vAlign w:val="center"/>
          </w:tcPr>
          <w:p w14:paraId="30CEF4B0">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lang w:val="en-US" w:eastAsia="zh-CN"/>
              </w:rPr>
              <w:t>鸿雁、正泰、公牛</w:t>
            </w:r>
          </w:p>
        </w:tc>
        <w:tc>
          <w:tcPr>
            <w:tcW w:w="399" w:type="pct"/>
          </w:tcPr>
          <w:p w14:paraId="178339BB">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208DD903">
            <w:pPr>
              <w:widowControl/>
              <w:jc w:val="left"/>
              <w:rPr>
                <w:rFonts w:hint="eastAsia" w:asciiTheme="minorEastAsia" w:hAnsiTheme="minorEastAsia" w:eastAsiaTheme="minorEastAsia" w:cstheme="minorEastAsia"/>
                <w:bCs/>
                <w:szCs w:val="21"/>
                <w:highlight w:val="none"/>
              </w:rPr>
            </w:pPr>
          </w:p>
        </w:tc>
      </w:tr>
      <w:tr w14:paraId="47F20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shd w:val="clear" w:color="auto" w:fill="auto"/>
            <w:vAlign w:val="center"/>
          </w:tcPr>
          <w:p w14:paraId="17A69113">
            <w:pPr>
              <w:widowControl/>
              <w:jc w:val="center"/>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rPr>
              <w:t>11</w:t>
            </w:r>
          </w:p>
        </w:tc>
        <w:tc>
          <w:tcPr>
            <w:tcW w:w="1937" w:type="pct"/>
            <w:vAlign w:val="center"/>
          </w:tcPr>
          <w:p w14:paraId="42E381E7">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lang w:val="en-US" w:eastAsia="zh-CN"/>
              </w:rPr>
              <w:t>电线电缆</w:t>
            </w:r>
          </w:p>
        </w:tc>
        <w:tc>
          <w:tcPr>
            <w:tcW w:w="1652" w:type="pct"/>
            <w:vAlign w:val="center"/>
          </w:tcPr>
          <w:p w14:paraId="415F6F5B">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lang w:val="en-US" w:eastAsia="zh-CN"/>
              </w:rPr>
              <w:t>正泰、晨光、立洲</w:t>
            </w:r>
          </w:p>
        </w:tc>
        <w:tc>
          <w:tcPr>
            <w:tcW w:w="399" w:type="pct"/>
          </w:tcPr>
          <w:p w14:paraId="6AFD54CF">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3ADB7F73">
            <w:pPr>
              <w:widowControl/>
              <w:jc w:val="left"/>
              <w:rPr>
                <w:rFonts w:hint="eastAsia" w:asciiTheme="minorEastAsia" w:hAnsiTheme="minorEastAsia" w:eastAsiaTheme="minorEastAsia" w:cstheme="minorEastAsia"/>
                <w:bCs/>
                <w:szCs w:val="21"/>
                <w:highlight w:val="none"/>
              </w:rPr>
            </w:pPr>
          </w:p>
        </w:tc>
      </w:tr>
      <w:tr w14:paraId="7337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shd w:val="clear" w:color="auto" w:fill="auto"/>
            <w:vAlign w:val="center"/>
          </w:tcPr>
          <w:p w14:paraId="0BCAF917">
            <w:pPr>
              <w:widowControl/>
              <w:jc w:val="center"/>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cstheme="minorEastAsia"/>
                <w:color w:val="auto"/>
                <w:kern w:val="0"/>
                <w:sz w:val="21"/>
                <w:szCs w:val="21"/>
                <w:highlight w:val="none"/>
                <w:lang w:val="en-US" w:eastAsia="zh-CN"/>
              </w:rPr>
              <w:t>2</w:t>
            </w:r>
          </w:p>
        </w:tc>
        <w:tc>
          <w:tcPr>
            <w:tcW w:w="1937" w:type="pct"/>
            <w:vAlign w:val="center"/>
          </w:tcPr>
          <w:p w14:paraId="297A0923">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lang w:val="en-US" w:eastAsia="zh-CN"/>
              </w:rPr>
              <w:t>PVC-U排水管及电线套管</w:t>
            </w:r>
          </w:p>
        </w:tc>
        <w:tc>
          <w:tcPr>
            <w:tcW w:w="1652" w:type="pct"/>
            <w:vAlign w:val="center"/>
          </w:tcPr>
          <w:p w14:paraId="0FD14BEE">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lang w:val="en-US" w:eastAsia="zh-CN"/>
              </w:rPr>
              <w:t>泰洲、中财、公元</w:t>
            </w:r>
          </w:p>
        </w:tc>
        <w:tc>
          <w:tcPr>
            <w:tcW w:w="399" w:type="pct"/>
          </w:tcPr>
          <w:p w14:paraId="27B91C10">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34281EEE">
            <w:pPr>
              <w:widowControl/>
              <w:jc w:val="left"/>
              <w:rPr>
                <w:rFonts w:hint="eastAsia" w:asciiTheme="minorEastAsia" w:hAnsiTheme="minorEastAsia" w:eastAsiaTheme="minorEastAsia" w:cstheme="minorEastAsia"/>
                <w:bCs/>
                <w:szCs w:val="21"/>
                <w:highlight w:val="none"/>
              </w:rPr>
            </w:pPr>
          </w:p>
        </w:tc>
      </w:tr>
      <w:tr w14:paraId="4725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86" w:type="pct"/>
            <w:vAlign w:val="center"/>
          </w:tcPr>
          <w:p w14:paraId="3EFAB161">
            <w:pPr>
              <w:widowControl/>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1</w:t>
            </w:r>
            <w:r>
              <w:rPr>
                <w:rFonts w:hint="eastAsia" w:asciiTheme="minorEastAsia" w:hAnsiTheme="minorEastAsia" w:cstheme="minorEastAsia"/>
                <w:color w:val="auto"/>
                <w:kern w:val="0"/>
                <w:sz w:val="21"/>
                <w:szCs w:val="21"/>
                <w:highlight w:val="none"/>
                <w:lang w:val="en-US" w:eastAsia="zh-CN"/>
              </w:rPr>
              <w:t>3</w:t>
            </w:r>
          </w:p>
        </w:tc>
        <w:tc>
          <w:tcPr>
            <w:tcW w:w="1937" w:type="pct"/>
            <w:vAlign w:val="center"/>
          </w:tcPr>
          <w:p w14:paraId="7460AB6C">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lang w:val="en-US" w:eastAsia="zh-CN"/>
              </w:rPr>
              <w:t>PPR管</w:t>
            </w:r>
          </w:p>
        </w:tc>
        <w:tc>
          <w:tcPr>
            <w:tcW w:w="1652" w:type="pct"/>
            <w:vAlign w:val="center"/>
          </w:tcPr>
          <w:p w14:paraId="270F976D">
            <w:pPr>
              <w:jc w:val="center"/>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lang w:val="en-US" w:eastAsia="zh-CN"/>
              </w:rPr>
              <w:t>泰洲、中财、公元</w:t>
            </w:r>
          </w:p>
        </w:tc>
        <w:tc>
          <w:tcPr>
            <w:tcW w:w="399" w:type="pct"/>
          </w:tcPr>
          <w:p w14:paraId="7EA6F1BF">
            <w:pPr>
              <w:widowControl/>
              <w:jc w:val="left"/>
              <w:rPr>
                <w:rFonts w:hint="eastAsia" w:asciiTheme="minorEastAsia" w:hAnsiTheme="minorEastAsia" w:eastAsiaTheme="minorEastAsia" w:cstheme="minorEastAsia"/>
                <w:kern w:val="0"/>
                <w:szCs w:val="21"/>
                <w:highlight w:val="none"/>
              </w:rPr>
            </w:pPr>
          </w:p>
        </w:tc>
        <w:tc>
          <w:tcPr>
            <w:tcW w:w="425" w:type="pct"/>
            <w:vAlign w:val="center"/>
          </w:tcPr>
          <w:p w14:paraId="4069C0E4">
            <w:pPr>
              <w:widowControl/>
              <w:jc w:val="left"/>
              <w:rPr>
                <w:rFonts w:hint="eastAsia" w:asciiTheme="minorEastAsia" w:hAnsiTheme="minorEastAsia" w:eastAsiaTheme="minorEastAsia" w:cstheme="minorEastAsia"/>
                <w:bCs/>
                <w:szCs w:val="21"/>
                <w:highlight w:val="none"/>
              </w:rPr>
            </w:pPr>
          </w:p>
        </w:tc>
      </w:tr>
    </w:tbl>
    <w:p w14:paraId="73C97E58">
      <w:pPr>
        <w:spacing w:line="36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98165"/>
    <w:multiLevelType w:val="singleLevel"/>
    <w:tmpl w:val="DA79816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5M2E1ZDU3MGNkZWQyMmEzMThlZTEyZWMzYTM4MWQifQ=="/>
  </w:docVars>
  <w:rsids>
    <w:rsidRoot w:val="00172A27"/>
    <w:rsid w:val="015B44C6"/>
    <w:rsid w:val="06683736"/>
    <w:rsid w:val="06747DD8"/>
    <w:rsid w:val="09D84B05"/>
    <w:rsid w:val="0B134BF8"/>
    <w:rsid w:val="0BDE6F3F"/>
    <w:rsid w:val="0D503079"/>
    <w:rsid w:val="0DA56732"/>
    <w:rsid w:val="0DD979BE"/>
    <w:rsid w:val="11671785"/>
    <w:rsid w:val="16F05D79"/>
    <w:rsid w:val="16F8042C"/>
    <w:rsid w:val="18C93200"/>
    <w:rsid w:val="18CE7691"/>
    <w:rsid w:val="1FD634D5"/>
    <w:rsid w:val="221B63A0"/>
    <w:rsid w:val="2814592D"/>
    <w:rsid w:val="29F37C02"/>
    <w:rsid w:val="2B5D2A56"/>
    <w:rsid w:val="2C5801F0"/>
    <w:rsid w:val="2D9A7D1F"/>
    <w:rsid w:val="2F3F11F4"/>
    <w:rsid w:val="2F9104DF"/>
    <w:rsid w:val="32FF3174"/>
    <w:rsid w:val="3304377F"/>
    <w:rsid w:val="351E7572"/>
    <w:rsid w:val="39996200"/>
    <w:rsid w:val="3E1A10D2"/>
    <w:rsid w:val="43D47D05"/>
    <w:rsid w:val="46212B5F"/>
    <w:rsid w:val="4BAF38A8"/>
    <w:rsid w:val="4D376695"/>
    <w:rsid w:val="4DE82D2A"/>
    <w:rsid w:val="51BC40D4"/>
    <w:rsid w:val="56777CEF"/>
    <w:rsid w:val="57853398"/>
    <w:rsid w:val="57D84DC1"/>
    <w:rsid w:val="591F52F1"/>
    <w:rsid w:val="59E44CEE"/>
    <w:rsid w:val="5A480293"/>
    <w:rsid w:val="5BC3121A"/>
    <w:rsid w:val="5E532442"/>
    <w:rsid w:val="5E54042C"/>
    <w:rsid w:val="627462B8"/>
    <w:rsid w:val="63D32F8D"/>
    <w:rsid w:val="677C1965"/>
    <w:rsid w:val="67870105"/>
    <w:rsid w:val="68B06491"/>
    <w:rsid w:val="6A0478AF"/>
    <w:rsid w:val="6D2074E0"/>
    <w:rsid w:val="7E4F7D6E"/>
    <w:rsid w:val="7F1F5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1284</Words>
  <Characters>1358</Characters>
  <Lines>0</Lines>
  <Paragraphs>0</Paragraphs>
  <TotalTime>0</TotalTime>
  <ScaleCrop>false</ScaleCrop>
  <LinksUpToDate>false</LinksUpToDate>
  <CharactersWithSpaces>1364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浙江国华工程管理有限公司</cp:lastModifiedBy>
  <dcterms:modified xsi:type="dcterms:W3CDTF">2025-06-27T11:31:30Z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F0BB5267BECF4338BB01BC981AF3D6E7_12</vt:lpwstr>
  </property>
  <property fmtid="{D5CDD505-2E9C-101B-9397-08002B2CF9AE}" pid="4" name="KSOTemplateDocerSaveRecord">
    <vt:lpwstr>eyJoZGlkIjoiYjcyOTYxYzYzYTcyOTBhNjFhYTA5YmJjMjc4NTIyMjQiLCJ1c2VySWQiOiI2NTQ4OTIyNzMifQ==</vt:lpwstr>
  </property>
</Properties>
</file>